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9020" w14:textId="77777777" w:rsidR="00D117BC" w:rsidRPr="00D117BC" w:rsidRDefault="00D117BC" w:rsidP="00D117BC">
      <w:pPr>
        <w:keepNext/>
        <w:keepLines/>
        <w:shd w:val="clear" w:color="auto" w:fill="E6E6E6"/>
        <w:spacing w:before="480" w:after="0" w:line="240" w:lineRule="auto"/>
        <w:ind w:left="284" w:right="253"/>
        <w:jc w:val="right"/>
        <w:outlineLvl w:val="0"/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0B8390CE" wp14:editId="0B8390CF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4.</w:t>
      </w:r>
      <w:r w:rsidR="00C8769A" w:rsidRPr="00C8769A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2</w:t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. • Coût </w:t>
      </w:r>
      <w:r w:rsidR="00B35F09"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  <w:t>Gl</w:t>
      </w:r>
      <w:r w:rsidRPr="00D117BC"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  <w:t>obal</w:t>
      </w:r>
      <w:r w:rsidR="00C8769A"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  <w:t xml:space="preserve"> </w:t>
      </w:r>
      <w:r w:rsidR="00B35F09"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  <w:t>E</w:t>
      </w:r>
      <w:r w:rsidR="00C8769A"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  <w:t>tendu</w:t>
      </w:r>
      <w:r w:rsidRPr="00D117BC"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  <w:t xml:space="preserve"> </w:t>
      </w:r>
    </w:p>
    <w:p w14:paraId="0B83902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22" w14:textId="77777777" w:rsidR="007473C3" w:rsidRDefault="007473C3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0B839023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DEFINITION DU COUT GLOBAL</w:t>
      </w:r>
      <w:r w:rsidR="00B35F09">
        <w:rPr>
          <w:rFonts w:ascii="Century Gothic" w:eastAsia="Times" w:hAnsi="Century Gothic" w:cs="Times New Roman"/>
          <w:kern w:val="32"/>
          <w:szCs w:val="24"/>
        </w:rPr>
        <w:t xml:space="preserve"> ETENDU</w:t>
      </w:r>
      <w:r w:rsidRPr="00D117BC">
        <w:rPr>
          <w:rFonts w:ascii="Century Gothic" w:eastAsia="Times" w:hAnsi="Century Gothic" w:cs="Times New Roman"/>
          <w:kern w:val="32"/>
          <w:szCs w:val="24"/>
        </w:rPr>
        <w:t> :</w:t>
      </w:r>
    </w:p>
    <w:p w14:paraId="0B839024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25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26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>Extrait de la Norme ISO/DIS 15686-5</w:t>
      </w:r>
    </w:p>
    <w:p w14:paraId="0B839027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 xml:space="preserve"> </w:t>
      </w:r>
    </w:p>
    <w:p w14:paraId="0B839028" w14:textId="77777777" w:rsidR="00FA5018" w:rsidRDefault="00D117BC" w:rsidP="00FA5018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 xml:space="preserve">Le Coût Global </w:t>
      </w:r>
      <w:r w:rsidR="00B35F09">
        <w:rPr>
          <w:rFonts w:ascii="Times" w:eastAsia="Cambria" w:hAnsi="Times" w:cs="Times New Roman"/>
          <w:sz w:val="16"/>
          <w:szCs w:val="24"/>
        </w:rPr>
        <w:t>E</w:t>
      </w:r>
      <w:r w:rsidR="00FA5018">
        <w:rPr>
          <w:rFonts w:ascii="Times" w:eastAsia="Cambria" w:hAnsi="Times" w:cs="Times New Roman"/>
          <w:sz w:val="16"/>
          <w:szCs w:val="24"/>
        </w:rPr>
        <w:t xml:space="preserve">tendu </w:t>
      </w:r>
      <w:r w:rsidRPr="00D117BC">
        <w:rPr>
          <w:rFonts w:ascii="Times" w:eastAsia="Cambria" w:hAnsi="Times" w:cs="Times New Roman"/>
          <w:sz w:val="16"/>
          <w:szCs w:val="24"/>
        </w:rPr>
        <w:t xml:space="preserve">(« </w:t>
      </w:r>
      <w:proofErr w:type="spellStart"/>
      <w:r w:rsidR="00FA5018">
        <w:rPr>
          <w:rFonts w:ascii="Times" w:eastAsia="Cambria" w:hAnsi="Times" w:cs="Times New Roman"/>
          <w:sz w:val="16"/>
          <w:szCs w:val="24"/>
        </w:rPr>
        <w:t>whole</w:t>
      </w:r>
      <w:proofErr w:type="spellEnd"/>
      <w:r w:rsidR="00FA5018">
        <w:rPr>
          <w:rFonts w:ascii="Times" w:eastAsia="Cambria" w:hAnsi="Times" w:cs="Times New Roman"/>
          <w:sz w:val="16"/>
          <w:szCs w:val="24"/>
        </w:rPr>
        <w:t xml:space="preserve"> </w:t>
      </w:r>
      <w:r w:rsidRPr="00D117BC">
        <w:rPr>
          <w:rFonts w:ascii="Times" w:eastAsia="Cambria" w:hAnsi="Times" w:cs="Times New Roman"/>
          <w:sz w:val="16"/>
          <w:szCs w:val="24"/>
        </w:rPr>
        <w:t xml:space="preserve">life </w:t>
      </w:r>
      <w:proofErr w:type="spellStart"/>
      <w:r w:rsidRPr="00D117BC">
        <w:rPr>
          <w:rFonts w:ascii="Times" w:eastAsia="Cambria" w:hAnsi="Times" w:cs="Times New Roman"/>
          <w:sz w:val="16"/>
          <w:szCs w:val="24"/>
        </w:rPr>
        <w:t>cost</w:t>
      </w:r>
      <w:proofErr w:type="spellEnd"/>
      <w:r w:rsidRPr="00D117BC">
        <w:rPr>
          <w:rFonts w:ascii="Times" w:eastAsia="Cambria" w:hAnsi="Times" w:cs="Times New Roman"/>
          <w:sz w:val="16"/>
          <w:szCs w:val="24"/>
        </w:rPr>
        <w:t xml:space="preserve"> ») tel qu’il est défini dans la norme ISO</w:t>
      </w:r>
      <w:r w:rsidR="00FA5018">
        <w:rPr>
          <w:rFonts w:ascii="Times" w:eastAsia="Cambria" w:hAnsi="Times" w:cs="Times New Roman"/>
          <w:sz w:val="16"/>
          <w:szCs w:val="24"/>
        </w:rPr>
        <w:t>,</w:t>
      </w:r>
      <w:r w:rsidRPr="00D117BC">
        <w:rPr>
          <w:rFonts w:ascii="Times" w:eastAsia="Cambria" w:hAnsi="Times" w:cs="Times New Roman"/>
          <w:sz w:val="16"/>
          <w:szCs w:val="24"/>
        </w:rPr>
        <w:t xml:space="preserve"> </w:t>
      </w:r>
      <w:r w:rsidR="00FA5018">
        <w:rPr>
          <w:rFonts w:ascii="Times" w:eastAsia="Cambria" w:hAnsi="Times" w:cs="Times New Roman"/>
          <w:sz w:val="16"/>
          <w:szCs w:val="24"/>
        </w:rPr>
        <w:t xml:space="preserve">comprend l’ensemble </w:t>
      </w:r>
      <w:r w:rsidR="00FA5018" w:rsidRPr="00FA5018">
        <w:rPr>
          <w:rFonts w:ascii="Times" w:eastAsia="Cambria" w:hAnsi="Times" w:cs="Times New Roman"/>
          <w:sz w:val="16"/>
          <w:szCs w:val="24"/>
        </w:rPr>
        <w:t xml:space="preserve">des coûts immobiliers techniques qui sont supportés par le maître d’ouvrage et l’utilisateur. </w:t>
      </w:r>
    </w:p>
    <w:p w14:paraId="0B839029" w14:textId="77777777" w:rsidR="00FA5018" w:rsidRDefault="00FA5018" w:rsidP="00FA5018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2A" w14:textId="77777777" w:rsidR="00FA5018" w:rsidRDefault="00FA5018" w:rsidP="00FA5018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t>I</w:t>
      </w:r>
      <w:r w:rsidRPr="00FA5018">
        <w:rPr>
          <w:rFonts w:ascii="Times" w:eastAsia="Cambria" w:hAnsi="Times" w:cs="Times New Roman"/>
          <w:sz w:val="16"/>
          <w:szCs w:val="24"/>
        </w:rPr>
        <w:t>l comprend une liste plus larg</w:t>
      </w:r>
      <w:r>
        <w:rPr>
          <w:rFonts w:ascii="Times" w:eastAsia="Cambria" w:hAnsi="Times" w:cs="Times New Roman"/>
          <w:sz w:val="16"/>
          <w:szCs w:val="24"/>
        </w:rPr>
        <w:t xml:space="preserve">e de coûts et de bénéfices, qui </w:t>
      </w:r>
      <w:r w:rsidRPr="00FA5018">
        <w:rPr>
          <w:rFonts w:ascii="Times" w:eastAsia="Cambria" w:hAnsi="Times" w:cs="Times New Roman"/>
          <w:sz w:val="16"/>
          <w:szCs w:val="24"/>
        </w:rPr>
        <w:t xml:space="preserve">sont par ailleurs hétérogènes. </w:t>
      </w:r>
    </w:p>
    <w:p w14:paraId="0B83902B" w14:textId="77777777" w:rsidR="00FA5018" w:rsidRDefault="00FA5018" w:rsidP="00FA5018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2C" w14:textId="77777777" w:rsidR="00FA5018" w:rsidRPr="00FA5018" w:rsidRDefault="00FA5018" w:rsidP="00FA5018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FA5018">
        <w:rPr>
          <w:rFonts w:ascii="Times" w:eastAsia="Cambria" w:hAnsi="Times" w:cs="Times New Roman"/>
          <w:sz w:val="16"/>
          <w:szCs w:val="24"/>
        </w:rPr>
        <w:t>Il inclut notamment le volet financie</w:t>
      </w:r>
      <w:r>
        <w:rPr>
          <w:rFonts w:ascii="Times" w:eastAsia="Cambria" w:hAnsi="Times" w:cs="Times New Roman"/>
          <w:sz w:val="16"/>
          <w:szCs w:val="24"/>
        </w:rPr>
        <w:t xml:space="preserve">r et fiscal, éventuellement les </w:t>
      </w:r>
      <w:r w:rsidRPr="00FA5018">
        <w:rPr>
          <w:rFonts w:ascii="Times" w:eastAsia="Cambria" w:hAnsi="Times" w:cs="Times New Roman"/>
          <w:sz w:val="16"/>
          <w:szCs w:val="24"/>
        </w:rPr>
        <w:t>revenus, les éléments intangibles liés à la qualité d’usage ainsi que les externalité</w:t>
      </w:r>
      <w:r>
        <w:rPr>
          <w:rFonts w:ascii="Times" w:eastAsia="Cambria" w:hAnsi="Times" w:cs="Times New Roman"/>
          <w:sz w:val="16"/>
          <w:szCs w:val="24"/>
        </w:rPr>
        <w:t xml:space="preserve">s. On peut d’ailleurs </w:t>
      </w:r>
      <w:r w:rsidRPr="00FA5018">
        <w:rPr>
          <w:rFonts w:ascii="Times" w:eastAsia="Cambria" w:hAnsi="Times" w:cs="Times New Roman"/>
          <w:sz w:val="16"/>
          <w:szCs w:val="24"/>
        </w:rPr>
        <w:t>parler d’économie globale plutôt que de coût global étendu.</w:t>
      </w:r>
    </w:p>
    <w:p w14:paraId="0B83902D" w14:textId="77777777" w:rsidR="00FA5018" w:rsidRDefault="00FA5018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2E" w14:textId="77777777" w:rsid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2F" w14:textId="77777777" w:rsidR="00FA5018" w:rsidRDefault="00FA5018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30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 xml:space="preserve">Objectif des missions </w:t>
      </w:r>
    </w:p>
    <w:p w14:paraId="0B839031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32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33" w14:textId="77777777" w:rsidR="002F2592" w:rsidRDefault="00F26CF0" w:rsidP="00F26CF0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FA5018">
        <w:rPr>
          <w:rFonts w:ascii="Times" w:eastAsia="Cambria" w:hAnsi="Times" w:cs="Times New Roman"/>
          <w:sz w:val="16"/>
          <w:szCs w:val="24"/>
        </w:rPr>
        <w:t xml:space="preserve">Le périmètre du </w:t>
      </w:r>
      <w:r w:rsidR="00B35F09">
        <w:rPr>
          <w:rFonts w:ascii="Times" w:eastAsia="Cambria" w:hAnsi="Times" w:cs="Times New Roman"/>
          <w:sz w:val="16"/>
          <w:szCs w:val="24"/>
        </w:rPr>
        <w:t>Coût Global E</w:t>
      </w:r>
      <w:r w:rsidRPr="00FA5018">
        <w:rPr>
          <w:rFonts w:ascii="Times" w:eastAsia="Cambria" w:hAnsi="Times" w:cs="Times New Roman"/>
          <w:sz w:val="16"/>
          <w:szCs w:val="24"/>
        </w:rPr>
        <w:t>tendu défini par la norme est</w:t>
      </w:r>
      <w:r>
        <w:rPr>
          <w:rFonts w:ascii="Times" w:eastAsia="Cambria" w:hAnsi="Times" w:cs="Times New Roman"/>
          <w:sz w:val="16"/>
          <w:szCs w:val="24"/>
        </w:rPr>
        <w:t xml:space="preserve"> quant à lui très large si bien </w:t>
      </w:r>
      <w:r w:rsidRPr="00FA5018">
        <w:rPr>
          <w:rFonts w:ascii="Times" w:eastAsia="Cambria" w:hAnsi="Times" w:cs="Times New Roman"/>
          <w:sz w:val="16"/>
          <w:szCs w:val="24"/>
        </w:rPr>
        <w:t>que ce concept peut relever de postures très différentes du ma</w:t>
      </w:r>
      <w:r>
        <w:rPr>
          <w:rFonts w:ascii="Times" w:eastAsia="Cambria" w:hAnsi="Times" w:cs="Times New Roman"/>
          <w:sz w:val="16"/>
          <w:szCs w:val="24"/>
        </w:rPr>
        <w:t xml:space="preserve">ître d’ouvrage. </w:t>
      </w:r>
    </w:p>
    <w:p w14:paraId="0B839034" w14:textId="77777777" w:rsidR="002F2592" w:rsidRPr="00FE67D1" w:rsidRDefault="002F2592" w:rsidP="00F26CF0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35" w14:textId="77777777" w:rsidR="00F26CF0" w:rsidRPr="00FE67D1" w:rsidRDefault="00F26CF0" w:rsidP="00F26CF0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FE67D1">
        <w:rPr>
          <w:rFonts w:ascii="Times" w:eastAsia="Cambria" w:hAnsi="Times" w:cs="Times New Roman"/>
          <w:sz w:val="16"/>
          <w:szCs w:val="24"/>
        </w:rPr>
        <w:t>En explorant en plus les dimensions financière et citoyenne, ce concept revient :</w:t>
      </w:r>
    </w:p>
    <w:p w14:paraId="0B839036" w14:textId="77777777" w:rsidR="00F26CF0" w:rsidRPr="00FE67D1" w:rsidRDefault="00F26CF0" w:rsidP="00F26CF0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37" w14:textId="77777777" w:rsidR="00F26CF0" w:rsidRPr="00FE67D1" w:rsidRDefault="00F26CF0" w:rsidP="00F26CF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" w:eastAsia="Cambria" w:hAnsi="Times" w:cs="Times New Roman"/>
          <w:sz w:val="16"/>
          <w:szCs w:val="24"/>
        </w:rPr>
      </w:pPr>
      <w:r w:rsidRPr="00FE67D1">
        <w:rPr>
          <w:rFonts w:ascii="Times" w:eastAsia="Cambria" w:hAnsi="Times" w:cs="Times New Roman"/>
          <w:sz w:val="16"/>
          <w:szCs w:val="24"/>
        </w:rPr>
        <w:t>à prendre en compte la sphère technico financière de la fonction immobilière en</w:t>
      </w:r>
      <w:r w:rsidR="002F2592" w:rsidRPr="00FE67D1">
        <w:rPr>
          <w:rFonts w:ascii="Times" w:eastAsia="Cambria" w:hAnsi="Times" w:cs="Times New Roman"/>
          <w:sz w:val="16"/>
          <w:szCs w:val="24"/>
        </w:rPr>
        <w:t xml:space="preserve"> </w:t>
      </w:r>
      <w:r w:rsidRPr="00FE67D1">
        <w:rPr>
          <w:rFonts w:ascii="Times" w:eastAsia="Cambria" w:hAnsi="Times" w:cs="Times New Roman"/>
          <w:sz w:val="16"/>
          <w:szCs w:val="24"/>
        </w:rPr>
        <w:t>ajoutant aux coûts techniques immobiliers</w:t>
      </w:r>
      <w:r w:rsidR="007473C3" w:rsidRPr="00FE67D1">
        <w:rPr>
          <w:rFonts w:ascii="Times" w:eastAsia="Cambria" w:hAnsi="Times" w:cs="Times New Roman"/>
          <w:sz w:val="16"/>
          <w:szCs w:val="24"/>
        </w:rPr>
        <w:t>, environnementaux, sociaux ainsi que</w:t>
      </w:r>
      <w:r w:rsidRPr="00FE67D1">
        <w:rPr>
          <w:rFonts w:ascii="Times" w:eastAsia="Cambria" w:hAnsi="Times" w:cs="Times New Roman"/>
          <w:sz w:val="16"/>
          <w:szCs w:val="24"/>
        </w:rPr>
        <w:t xml:space="preserve"> le financement et la fiscalité comme c’est</w:t>
      </w:r>
      <w:r w:rsidR="002F2592" w:rsidRPr="00FE67D1">
        <w:rPr>
          <w:rFonts w:ascii="Times" w:eastAsia="Cambria" w:hAnsi="Times" w:cs="Times New Roman"/>
          <w:sz w:val="16"/>
          <w:szCs w:val="24"/>
        </w:rPr>
        <w:t xml:space="preserve"> </w:t>
      </w:r>
      <w:r w:rsidRPr="00FE67D1">
        <w:rPr>
          <w:rFonts w:ascii="Times" w:eastAsia="Cambria" w:hAnsi="Times" w:cs="Times New Roman"/>
          <w:sz w:val="16"/>
          <w:szCs w:val="24"/>
        </w:rPr>
        <w:t>le cas dans les contrats de partenariat,</w:t>
      </w:r>
    </w:p>
    <w:p w14:paraId="0B839038" w14:textId="77777777" w:rsidR="00F26CF0" w:rsidRPr="002F2592" w:rsidRDefault="00F26CF0" w:rsidP="00F26CF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" w:eastAsia="Cambria" w:hAnsi="Times" w:cs="Times New Roman"/>
          <w:sz w:val="16"/>
          <w:szCs w:val="24"/>
        </w:rPr>
      </w:pPr>
      <w:r w:rsidRPr="00FE67D1">
        <w:rPr>
          <w:rFonts w:ascii="Times" w:eastAsia="Cambria" w:hAnsi="Times" w:cs="Times New Roman"/>
          <w:sz w:val="16"/>
          <w:szCs w:val="24"/>
        </w:rPr>
        <w:t>à dépasser le périmètre de la fonction immobilière en intégrant les intangibles tels</w:t>
      </w:r>
      <w:r w:rsidR="002F2592" w:rsidRPr="00FE67D1">
        <w:rPr>
          <w:rFonts w:ascii="Times" w:eastAsia="Cambria" w:hAnsi="Times" w:cs="Times New Roman"/>
          <w:sz w:val="16"/>
          <w:szCs w:val="24"/>
        </w:rPr>
        <w:t xml:space="preserve"> </w:t>
      </w:r>
      <w:r w:rsidRPr="00FE67D1">
        <w:rPr>
          <w:rFonts w:ascii="Times" w:eastAsia="Cambria" w:hAnsi="Times" w:cs="Times New Roman"/>
          <w:sz w:val="16"/>
          <w:szCs w:val="24"/>
        </w:rPr>
        <w:t xml:space="preserve">que les impacts de la construction </w:t>
      </w:r>
      <w:r w:rsidRPr="002F2592">
        <w:rPr>
          <w:rFonts w:ascii="Times" w:eastAsia="Cambria" w:hAnsi="Times" w:cs="Times New Roman"/>
          <w:sz w:val="16"/>
          <w:szCs w:val="24"/>
        </w:rPr>
        <w:t>sur l’image, sur la qualité d’usage et sur l’activité</w:t>
      </w:r>
      <w:r w:rsidR="002F2592" w:rsidRPr="002F2592">
        <w:rPr>
          <w:rFonts w:ascii="Times" w:eastAsia="Cambria" w:hAnsi="Times" w:cs="Times New Roman"/>
          <w:sz w:val="16"/>
          <w:szCs w:val="24"/>
        </w:rPr>
        <w:t xml:space="preserve"> </w:t>
      </w:r>
      <w:r w:rsidRPr="002F2592">
        <w:rPr>
          <w:rFonts w:ascii="Times" w:eastAsia="Cambria" w:hAnsi="Times" w:cs="Times New Roman"/>
          <w:sz w:val="16"/>
          <w:szCs w:val="24"/>
        </w:rPr>
        <w:t>de l’organisation,</w:t>
      </w:r>
    </w:p>
    <w:p w14:paraId="0B839039" w14:textId="77777777" w:rsidR="00F26CF0" w:rsidRPr="002F2592" w:rsidRDefault="00F26CF0" w:rsidP="00F26CF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" w:eastAsia="Cambria" w:hAnsi="Times" w:cs="Times New Roman"/>
          <w:sz w:val="16"/>
          <w:szCs w:val="24"/>
        </w:rPr>
      </w:pPr>
      <w:r w:rsidRPr="002F2592">
        <w:rPr>
          <w:rFonts w:ascii="Times" w:eastAsia="Cambria" w:hAnsi="Times" w:cs="Times New Roman"/>
          <w:sz w:val="16"/>
          <w:szCs w:val="24"/>
        </w:rPr>
        <w:t>à considérer les contraintes et bénéfices revenant à des tiers en explicitant les</w:t>
      </w:r>
      <w:r w:rsidR="002F2592" w:rsidRPr="002F2592">
        <w:rPr>
          <w:rFonts w:ascii="Times" w:eastAsia="Cambria" w:hAnsi="Times" w:cs="Times New Roman"/>
          <w:sz w:val="16"/>
          <w:szCs w:val="24"/>
        </w:rPr>
        <w:t xml:space="preserve"> </w:t>
      </w:r>
      <w:r w:rsidRPr="002F2592">
        <w:rPr>
          <w:rFonts w:ascii="Times" w:eastAsia="Cambria" w:hAnsi="Times" w:cs="Times New Roman"/>
          <w:sz w:val="16"/>
          <w:szCs w:val="24"/>
        </w:rPr>
        <w:t>externalités positives ou néga</w:t>
      </w:r>
      <w:r w:rsidR="00C80DF0">
        <w:rPr>
          <w:rFonts w:ascii="Times" w:eastAsia="Cambria" w:hAnsi="Times" w:cs="Times New Roman"/>
          <w:sz w:val="16"/>
          <w:szCs w:val="24"/>
        </w:rPr>
        <w:t>tives que le projet a entraîné</w:t>
      </w:r>
      <w:r w:rsidRPr="002F2592">
        <w:rPr>
          <w:rFonts w:ascii="Times" w:eastAsia="Cambria" w:hAnsi="Times" w:cs="Times New Roman"/>
          <w:sz w:val="16"/>
          <w:szCs w:val="24"/>
        </w:rPr>
        <w:t>.</w:t>
      </w:r>
    </w:p>
    <w:p w14:paraId="0B83903A" w14:textId="77777777" w:rsidR="002F2592" w:rsidRDefault="002F2592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kern w:val="32"/>
          <w:szCs w:val="24"/>
        </w:rPr>
      </w:pPr>
    </w:p>
    <w:p w14:paraId="0B83903B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 xml:space="preserve">Capacités du postulant à la qualification /certification OPQTECC </w:t>
      </w:r>
    </w:p>
    <w:p w14:paraId="0B83903C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Livrables correspondants contrôlés par l’instructeur /examinateur</w:t>
      </w:r>
    </w:p>
    <w:p w14:paraId="0B83903D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3E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>Nombre de dossiers d’études : 2 études distinctes au minimum</w:t>
      </w:r>
    </w:p>
    <w:p w14:paraId="0B83903F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40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b/>
          <w:sz w:val="16"/>
          <w:szCs w:val="24"/>
        </w:rPr>
        <w:t>Livrables </w:t>
      </w:r>
      <w:r w:rsidRPr="00D117BC">
        <w:rPr>
          <w:rFonts w:ascii="Times" w:eastAsia="Cambria" w:hAnsi="Times" w:cs="Times New Roman"/>
          <w:sz w:val="16"/>
          <w:szCs w:val="24"/>
        </w:rPr>
        <w:t xml:space="preserve">: Pièces à fournir dans les dossiers d’étude. </w:t>
      </w:r>
    </w:p>
    <w:p w14:paraId="0B839041" w14:textId="14E98EF5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sz w:val="16"/>
          <w:szCs w:val="24"/>
        </w:rPr>
        <w:t xml:space="preserve">Les compétences doivent être identifiables par l’instructeur dans au moins 2 dossiers d’études présentés relatifs aux missions achevées depuis moins de </w:t>
      </w:r>
      <w:r w:rsidR="00755FC3">
        <w:rPr>
          <w:rFonts w:ascii="Times" w:eastAsia="Cambria" w:hAnsi="Times" w:cs="Times New Roman"/>
          <w:sz w:val="16"/>
          <w:szCs w:val="24"/>
        </w:rPr>
        <w:t>6</w:t>
      </w:r>
      <w:r w:rsidRPr="00D117BC">
        <w:rPr>
          <w:rFonts w:ascii="Times" w:eastAsia="Cambria" w:hAnsi="Times" w:cs="Times New Roman"/>
          <w:sz w:val="16"/>
          <w:szCs w:val="24"/>
        </w:rPr>
        <w:t xml:space="preserve"> ans.</w:t>
      </w:r>
    </w:p>
    <w:p w14:paraId="0B839042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43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44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  <w:r w:rsidRPr="00D117BC">
        <w:rPr>
          <w:rFonts w:ascii="Times" w:eastAsia="Cambria" w:hAnsi="Times" w:cs="Times New Roman"/>
          <w:b/>
          <w:sz w:val="16"/>
          <w:szCs w:val="24"/>
        </w:rPr>
        <w:t>Contrats</w:t>
      </w:r>
      <w:r w:rsidRPr="00D117BC">
        <w:rPr>
          <w:rFonts w:ascii="Times" w:eastAsia="Cambria" w:hAnsi="Times" w:cs="Times New Roman"/>
          <w:sz w:val="16"/>
          <w:szCs w:val="24"/>
        </w:rPr>
        <w:t xml:space="preserve"> signés (qualification) ou attestation d’employeur (certification) </w:t>
      </w:r>
    </w:p>
    <w:p w14:paraId="0B839045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br w:type="page"/>
      </w:r>
      <w:r w:rsidRPr="00D117BC">
        <w:rPr>
          <w:rFonts w:ascii="Century Gothic" w:eastAsia="Times" w:hAnsi="Century Gothic" w:cs="Times New Roman"/>
          <w:kern w:val="32"/>
          <w:szCs w:val="24"/>
        </w:rPr>
        <w:lastRenderedPageBreak/>
        <w:t>Cadre à compléter</w:t>
      </w:r>
    </w:p>
    <w:p w14:paraId="0B839046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3015"/>
        <w:gridCol w:w="2452"/>
      </w:tblGrid>
      <w:tr w:rsidR="00D117BC" w:rsidRPr="00D117BC" w14:paraId="0B83904E" w14:textId="77777777" w:rsidTr="00DB7B21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0B83904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4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NOM du postulant : ………………………………………</w:t>
            </w:r>
          </w:p>
        </w:tc>
        <w:tc>
          <w:tcPr>
            <w:tcW w:w="3015" w:type="dxa"/>
            <w:tcBorders>
              <w:bottom w:val="single" w:sz="4" w:space="0" w:color="000000"/>
            </w:tcBorders>
          </w:tcPr>
          <w:p w14:paraId="0B83904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4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 ………</w:t>
            </w:r>
          </w:p>
          <w:p w14:paraId="0B83904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</w:tcPr>
          <w:p w14:paraId="0B83904C" w14:textId="77777777" w:rsidR="00DB7B21" w:rsidRDefault="00DB7B21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4D" w14:textId="77777777" w:rsidR="00D117BC" w:rsidRPr="00D117BC" w:rsidRDefault="00D117BC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4.</w:t>
            </w:r>
            <w:r w:rsidR="002F2592">
              <w:rPr>
                <w:rFonts w:ascii="Times" w:eastAsia="Cambria" w:hAnsi="Times" w:cs="Times New Roman"/>
                <w:sz w:val="16"/>
                <w:szCs w:val="24"/>
              </w:rPr>
              <w:t>2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.</w:t>
            </w:r>
            <w:r w:rsidR="00DB7B21">
              <w:rPr>
                <w:rFonts w:ascii="Times" w:eastAsia="Cambria" w:hAnsi="Times" w:cs="Times New Roman"/>
                <w:sz w:val="16"/>
                <w:szCs w:val="24"/>
              </w:rPr>
              <w:t xml:space="preserve"> -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Coût Global</w:t>
            </w:r>
            <w:r w:rsidR="002F2592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="00B35F09">
              <w:rPr>
                <w:rFonts w:ascii="Times" w:eastAsia="Cambria" w:hAnsi="Times" w:cs="Times New Roman"/>
                <w:sz w:val="16"/>
                <w:szCs w:val="24"/>
              </w:rPr>
              <w:t>E</w:t>
            </w:r>
            <w:r w:rsidR="002F2592">
              <w:rPr>
                <w:rFonts w:ascii="Times" w:eastAsia="Cambria" w:hAnsi="Times" w:cs="Times New Roman"/>
                <w:sz w:val="16"/>
                <w:szCs w:val="24"/>
              </w:rPr>
              <w:t>tendu</w:t>
            </w:r>
          </w:p>
        </w:tc>
      </w:tr>
      <w:tr w:rsidR="00DB7B21" w:rsidRPr="00D117BC" w14:paraId="0B839059" w14:textId="77777777" w:rsidTr="001E235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0B83904F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50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0B839051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0B839052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53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gridSpan w:val="2"/>
            <w:tcBorders>
              <w:bottom w:val="single" w:sz="4" w:space="0" w:color="000000"/>
            </w:tcBorders>
          </w:tcPr>
          <w:p w14:paraId="0B839054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55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0B839056" w14:textId="77777777" w:rsidR="00DB7B21" w:rsidRPr="00D117BC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pour chaque projet présenté (livrables)</w:t>
            </w:r>
          </w:p>
          <w:p w14:paraId="0B839057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58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0B83905A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8"/>
        <w:gridCol w:w="1750"/>
        <w:gridCol w:w="1989"/>
        <w:gridCol w:w="1989"/>
        <w:gridCol w:w="1989"/>
      </w:tblGrid>
      <w:tr w:rsidR="00D117BC" w:rsidRPr="00D117BC" w14:paraId="0B839061" w14:textId="77777777" w:rsidTr="00931193">
        <w:trPr>
          <w:trHeight w:val="166"/>
        </w:trPr>
        <w:tc>
          <w:tcPr>
            <w:tcW w:w="2958" w:type="dxa"/>
            <w:shd w:val="clear" w:color="auto" w:fill="FF9900"/>
          </w:tcPr>
          <w:p w14:paraId="0B83905B" w14:textId="77777777" w:rsidR="00D117BC" w:rsidRDefault="00D117BC" w:rsidP="00D117B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• Coût Global</w:t>
            </w:r>
          </w:p>
          <w:p w14:paraId="0B83905C" w14:textId="77777777" w:rsidR="00F20F5A" w:rsidRPr="00D117BC" w:rsidRDefault="00F20F5A" w:rsidP="00D117B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1750" w:type="dxa"/>
            <w:shd w:val="clear" w:color="auto" w:fill="FF9900"/>
          </w:tcPr>
          <w:p w14:paraId="0B83905D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proofErr w:type="spellStart"/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Pré-requis</w:t>
            </w:r>
            <w:proofErr w:type="spellEnd"/>
          </w:p>
        </w:tc>
        <w:tc>
          <w:tcPr>
            <w:tcW w:w="1989" w:type="dxa"/>
            <w:shd w:val="clear" w:color="auto" w:fill="FF9900"/>
          </w:tcPr>
          <w:p w14:paraId="0B83905E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N°1</w:t>
            </w:r>
          </w:p>
        </w:tc>
        <w:tc>
          <w:tcPr>
            <w:tcW w:w="1989" w:type="dxa"/>
            <w:shd w:val="clear" w:color="auto" w:fill="FF9900"/>
          </w:tcPr>
          <w:p w14:paraId="0B83905F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N°2</w:t>
            </w:r>
          </w:p>
        </w:tc>
        <w:tc>
          <w:tcPr>
            <w:tcW w:w="1989" w:type="dxa"/>
            <w:shd w:val="clear" w:color="auto" w:fill="FF9900"/>
          </w:tcPr>
          <w:p w14:paraId="0B839060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N°3</w:t>
            </w:r>
            <w:r w:rsidR="00FE67D1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 (facultatif)</w:t>
            </w:r>
          </w:p>
        </w:tc>
      </w:tr>
      <w:tr w:rsidR="00D117BC" w:rsidRPr="00D117BC" w14:paraId="0B83906A" w14:textId="77777777" w:rsidTr="00931193">
        <w:trPr>
          <w:trHeight w:val="492"/>
        </w:trPr>
        <w:tc>
          <w:tcPr>
            <w:tcW w:w="4708" w:type="dxa"/>
            <w:gridSpan w:val="2"/>
            <w:tcBorders>
              <w:bottom w:val="single" w:sz="4" w:space="0" w:color="000000"/>
            </w:tcBorders>
          </w:tcPr>
          <w:p w14:paraId="0B839062" w14:textId="77777777" w:rsidR="00D117BC" w:rsidRPr="00D117BC" w:rsidRDefault="00D117BC" w:rsidP="00D117BC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63" w14:textId="77777777" w:rsidR="00D117BC" w:rsidRPr="00D117BC" w:rsidRDefault="00D117BC" w:rsidP="00D117BC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INTITULE DES PROJETS PRESENTES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0B839064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6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0B83906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6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0B83906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6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</w:tr>
      <w:tr w:rsidR="00D117BC" w:rsidRPr="00D117BC" w14:paraId="0B8390B2" w14:textId="77777777" w:rsidTr="00931193">
        <w:trPr>
          <w:trHeight w:val="3440"/>
        </w:trPr>
        <w:tc>
          <w:tcPr>
            <w:tcW w:w="2958" w:type="dxa"/>
            <w:vMerge w:val="restart"/>
          </w:tcPr>
          <w:p w14:paraId="0B83906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6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proofErr w:type="spellStart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Pré-requis</w:t>
            </w:r>
            <w:proofErr w:type="spellEnd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</w:p>
          <w:p w14:paraId="0B83906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6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Etre qualifié ou certifié :</w:t>
            </w:r>
          </w:p>
          <w:p w14:paraId="0B83906F" w14:textId="77777777" w:rsidR="006E6C52" w:rsidRPr="006E6C52" w:rsidRDefault="006E6C52" w:rsidP="006E6C52">
            <w:pPr>
              <w:spacing w:after="0" w:line="240" w:lineRule="auto"/>
              <w:jc w:val="both"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0B839070" w14:textId="77777777" w:rsidR="006E6C52" w:rsidRPr="006E6C52" w:rsidRDefault="006E6C52" w:rsidP="006E6C52">
            <w:pPr>
              <w:spacing w:after="0" w:line="240" w:lineRule="auto"/>
              <w:jc w:val="both"/>
              <w:rPr>
                <w:rFonts w:ascii="Times" w:eastAsia="Cambria" w:hAnsi="Times" w:cs="Times New Roman"/>
                <w:b/>
                <w:sz w:val="16"/>
                <w:szCs w:val="24"/>
              </w:rPr>
            </w:pPr>
            <w:r w:rsidRPr="006E6C52">
              <w:rPr>
                <w:rFonts w:ascii="Times" w:eastAsia="Cambria" w:hAnsi="Times" w:cs="Times New Roman"/>
                <w:b/>
                <w:sz w:val="16"/>
                <w:szCs w:val="24"/>
              </w:rPr>
              <w:t>1.3.1. - Programmation architecturale et technique :</w:t>
            </w:r>
          </w:p>
          <w:p w14:paraId="0B839071" w14:textId="77777777" w:rsidR="006E6C52" w:rsidRPr="006E6C52" w:rsidRDefault="006E6C52" w:rsidP="006E6C52">
            <w:pPr>
              <w:spacing w:after="0" w:line="240" w:lineRule="auto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6E6C52">
              <w:rPr>
                <w:rFonts w:ascii="Times" w:eastAsia="Cambria" w:hAnsi="Times" w:cs="Times New Roman"/>
                <w:sz w:val="16"/>
                <w:szCs w:val="24"/>
              </w:rPr>
              <w:t>A+B+C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  <w:r w:rsidRPr="006E6C52">
              <w:rPr>
                <w:rFonts w:ascii="Times" w:eastAsia="Cambria" w:hAnsi="Times" w:cs="Times New Roman"/>
                <w:sz w:val="16"/>
                <w:szCs w:val="24"/>
              </w:rPr>
              <w:t xml:space="preserve"> Programmation et assistance commission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Pr="006E6C52">
              <w:rPr>
                <w:rFonts w:ascii="Times" w:eastAsia="Cambria" w:hAnsi="Times" w:cs="Times New Roman"/>
                <w:sz w:val="16"/>
                <w:szCs w:val="24"/>
              </w:rPr>
              <w:t xml:space="preserve">technique concours (hors </w:t>
            </w:r>
            <w:r w:rsidRPr="006E6C52">
              <w:rPr>
                <w:rFonts w:ascii="Times" w:eastAsia="Cambria" w:hAnsi="Times" w:cs="Times New Roman" w:hint="eastAsia"/>
                <w:sz w:val="16"/>
                <w:szCs w:val="24"/>
              </w:rPr>
              <w:t>é</w:t>
            </w:r>
            <w:r w:rsidRPr="006E6C52">
              <w:rPr>
                <w:rFonts w:ascii="Times" w:eastAsia="Cambria" w:hAnsi="Times" w:cs="Times New Roman"/>
                <w:sz w:val="16"/>
                <w:szCs w:val="24"/>
              </w:rPr>
              <w:t>conomie)</w:t>
            </w:r>
          </w:p>
          <w:p w14:paraId="0B839072" w14:textId="77777777" w:rsidR="006E6C52" w:rsidRPr="006E6C52" w:rsidRDefault="006E6C52" w:rsidP="006E6C52">
            <w:pPr>
              <w:spacing w:after="0" w:line="240" w:lineRule="auto"/>
              <w:jc w:val="both"/>
              <w:rPr>
                <w:rFonts w:ascii="Times" w:eastAsia="Cambria" w:hAnsi="Times" w:cs="Times New Roman"/>
                <w:b/>
                <w:sz w:val="16"/>
                <w:szCs w:val="24"/>
              </w:rPr>
            </w:pPr>
            <w:r w:rsidRPr="006E6C52">
              <w:rPr>
                <w:rFonts w:ascii="Times" w:eastAsia="Cambria" w:hAnsi="Times" w:cs="Times New Roman"/>
                <w:sz w:val="16"/>
                <w:szCs w:val="24"/>
              </w:rPr>
              <w:t xml:space="preserve">  </w:t>
            </w:r>
            <w:proofErr w:type="spellStart"/>
            <w:r w:rsidRPr="006E6C52">
              <w:rPr>
                <w:rFonts w:ascii="Times" w:eastAsia="Cambria" w:hAnsi="Times" w:cs="Times New Roman"/>
                <w:b/>
                <w:sz w:val="16"/>
                <w:szCs w:val="24"/>
              </w:rPr>
              <w:t>Et/Ou</w:t>
            </w:r>
            <w:proofErr w:type="spellEnd"/>
            <w:r w:rsidRPr="006E6C52">
              <w:rPr>
                <w:rFonts w:ascii="Times" w:eastAsia="Cambria" w:hAnsi="Times" w:cs="Times New Roman"/>
                <w:b/>
                <w:sz w:val="16"/>
                <w:szCs w:val="24"/>
              </w:rPr>
              <w:t xml:space="preserve">            </w:t>
            </w:r>
          </w:p>
          <w:p w14:paraId="0B839073" w14:textId="77777777" w:rsidR="006E6C52" w:rsidRPr="006E6C52" w:rsidRDefault="006E6C52" w:rsidP="006E6C52">
            <w:pPr>
              <w:spacing w:after="0" w:line="240" w:lineRule="auto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6E6C52">
              <w:rPr>
                <w:rFonts w:ascii="Times" w:eastAsia="Cambria" w:hAnsi="Times" w:cs="Times New Roman"/>
                <w:sz w:val="16"/>
                <w:szCs w:val="24"/>
              </w:rPr>
              <w:t>D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 : </w:t>
            </w:r>
            <w:r w:rsidRPr="006E6C52">
              <w:rPr>
                <w:rFonts w:ascii="Times" w:eastAsia="Cambria" w:hAnsi="Times" w:cs="Times New Roman"/>
                <w:sz w:val="16"/>
                <w:szCs w:val="24"/>
              </w:rPr>
              <w:t>Suivi ad</w:t>
            </w:r>
            <w:r w:rsidRPr="006E6C52">
              <w:rPr>
                <w:rFonts w:ascii="Times" w:eastAsia="Cambria" w:hAnsi="Times" w:cs="Times New Roman" w:hint="eastAsia"/>
                <w:sz w:val="16"/>
                <w:szCs w:val="24"/>
              </w:rPr>
              <w:t>é</w:t>
            </w:r>
            <w:r w:rsidRPr="006E6C52">
              <w:rPr>
                <w:rFonts w:ascii="Times" w:eastAsia="Cambria" w:hAnsi="Times" w:cs="Times New Roman"/>
                <w:sz w:val="16"/>
                <w:szCs w:val="24"/>
              </w:rPr>
              <w:t>quation programme /projet en phases APS et/ou APD</w:t>
            </w:r>
          </w:p>
          <w:p w14:paraId="0B839074" w14:textId="77777777" w:rsidR="00F84A10" w:rsidRDefault="00F84A10" w:rsidP="00F84A10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b/>
                <w:sz w:val="16"/>
                <w:szCs w:val="24"/>
              </w:rPr>
            </w:pPr>
          </w:p>
          <w:p w14:paraId="0B839075" w14:textId="77777777" w:rsidR="00F84A10" w:rsidRPr="00FE67D1" w:rsidRDefault="00F84A10" w:rsidP="00F84A10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b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</w:rPr>
              <w:t>ET </w:t>
            </w:r>
          </w:p>
          <w:p w14:paraId="0B839076" w14:textId="77777777" w:rsidR="00D117BC" w:rsidRPr="00F84A10" w:rsidRDefault="00F84A10" w:rsidP="00F84A10">
            <w:pPr>
              <w:pStyle w:val="Paragraphedeliste1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FE67D1">
              <w:rPr>
                <w:rFonts w:ascii="Times New Roman" w:hAnsi="Times New Roman" w:cs="Times New Roman"/>
                <w:sz w:val="16"/>
                <w:szCs w:val="16"/>
                <w:lang w:eastAsia="fr-FR"/>
              </w:rPr>
              <w:t xml:space="preserve">Disposer au minimum d’un ou plusieurs référent(s) ayant suivi une formation </w:t>
            </w:r>
            <w:r w:rsidR="00D117BC" w:rsidRPr="00FE67D1">
              <w:rPr>
                <w:rFonts w:ascii="Times" w:eastAsia="Cambria" w:hAnsi="Times" w:cs="Times New Roman"/>
                <w:sz w:val="16"/>
                <w:szCs w:val="24"/>
              </w:rPr>
              <w:t xml:space="preserve">spécifique sur le Coût Global </w:t>
            </w:r>
            <w:r w:rsidR="00D117BC" w:rsidRPr="00D117BC">
              <w:rPr>
                <w:rFonts w:ascii="Times" w:eastAsia="Cambria" w:hAnsi="Times" w:cs="Times New Roman"/>
                <w:sz w:val="16"/>
                <w:szCs w:val="24"/>
              </w:rPr>
              <w:t>basée sur la norme ISO/DIS 15 686-5</w:t>
            </w:r>
          </w:p>
          <w:p w14:paraId="0B839077" w14:textId="77777777" w:rsidR="00D117BC" w:rsidRDefault="00D117BC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Eléments minimum à fournir dans le rapport d’étude en </w:t>
            </w:r>
            <w:r w:rsidR="00B35F09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« </w:t>
            </w: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Coût Global</w:t>
            </w:r>
            <w:r w:rsidR="00395E11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 </w:t>
            </w:r>
            <w:r w:rsidR="00B35F09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E</w:t>
            </w:r>
            <w:r w:rsidR="00395E11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tendu</w:t>
            </w:r>
            <w:r w:rsidR="00B35F09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 »</w:t>
            </w: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 dans 2 dossiers d’études au minimum :</w:t>
            </w:r>
          </w:p>
          <w:p w14:paraId="0B839078" w14:textId="77777777" w:rsidR="00395E11" w:rsidRDefault="00395E11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0B839079" w14:textId="77777777" w:rsidR="0032619E" w:rsidRPr="00D117BC" w:rsidRDefault="0032619E" w:rsidP="0032619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Identification des postes de dépenses sur l’ensemble du cycle de vie (Construction, Exploitation, Maintenance et fin de vie),</w:t>
            </w:r>
          </w:p>
          <w:p w14:paraId="0B83907A" w14:textId="77777777" w:rsidR="0032619E" w:rsidRPr="00D117BC" w:rsidRDefault="0032619E" w:rsidP="0032619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</w:p>
          <w:p w14:paraId="0B83907B" w14:textId="77777777" w:rsidR="0032619E" w:rsidRPr="00D117BC" w:rsidRDefault="0032619E" w:rsidP="0032619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Précision sur les règles de définition du périmètre physique de la démarche (parties d’ouvrage et systèmes inclus),</w:t>
            </w:r>
          </w:p>
          <w:p w14:paraId="0B83907C" w14:textId="77777777" w:rsidR="0032619E" w:rsidRPr="00D117BC" w:rsidRDefault="0032619E" w:rsidP="0032619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7D" w14:textId="77777777" w:rsidR="0032619E" w:rsidRPr="00D117BC" w:rsidRDefault="0032619E" w:rsidP="0032619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Indication sur l’horizon de temps et sur le taux d’actualisation,</w:t>
            </w:r>
          </w:p>
          <w:p w14:paraId="0B83907E" w14:textId="77777777" w:rsidR="0032619E" w:rsidRPr="00D117BC" w:rsidRDefault="0032619E" w:rsidP="0032619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7F" w14:textId="77777777" w:rsidR="0032619E" w:rsidRPr="00D117BC" w:rsidRDefault="0032619E" w:rsidP="0032619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80" w14:textId="77777777" w:rsidR="0032619E" w:rsidRPr="00D117BC" w:rsidRDefault="0032619E" w:rsidP="0032619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Précision des hypothèses de taux d’inflation générale, des scénarios pour l’énergie, etc.</w:t>
            </w:r>
          </w:p>
          <w:p w14:paraId="0B839081" w14:textId="77777777" w:rsidR="0032619E" w:rsidRPr="00D117BC" w:rsidRDefault="0032619E" w:rsidP="0032619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82" w14:textId="77777777" w:rsidR="0032619E" w:rsidRPr="00D117BC" w:rsidRDefault="0032619E" w:rsidP="0032619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- Résultats du calcul en Coût Global détaillés par postes de dépenses.</w:t>
            </w:r>
          </w:p>
          <w:p w14:paraId="0B839083" w14:textId="77777777" w:rsidR="0032619E" w:rsidRDefault="0032619E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0B839084" w14:textId="77777777" w:rsidR="0032619E" w:rsidRPr="00D117BC" w:rsidRDefault="0032619E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0B839085" w14:textId="77777777" w:rsidR="00D117BC" w:rsidRDefault="00D117BC" w:rsidP="00395E11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- </w:t>
            </w:r>
            <w:r w:rsidR="00B35F09">
              <w:rPr>
                <w:rFonts w:ascii="Times" w:eastAsia="Cambria" w:hAnsi="Times" w:cs="Times New Roman"/>
                <w:sz w:val="16"/>
                <w:szCs w:val="24"/>
              </w:rPr>
              <w:t>Démonstration d</w:t>
            </w:r>
            <w:r w:rsidR="00C72083">
              <w:rPr>
                <w:rFonts w:ascii="Times" w:eastAsia="Cambria" w:hAnsi="Times" w:cs="Times New Roman"/>
                <w:sz w:val="16"/>
                <w:szCs w:val="24"/>
              </w:rPr>
              <w:t>’</w:t>
            </w:r>
            <w:r w:rsidR="00B35F09">
              <w:rPr>
                <w:rFonts w:ascii="Times" w:eastAsia="Cambria" w:hAnsi="Times" w:cs="Times New Roman"/>
                <w:sz w:val="16"/>
                <w:szCs w:val="24"/>
              </w:rPr>
              <w:t>un</w:t>
            </w:r>
            <w:r w:rsidR="00C72083">
              <w:rPr>
                <w:rFonts w:ascii="Times" w:eastAsia="Cambria" w:hAnsi="Times" w:cs="Times New Roman"/>
                <w:sz w:val="16"/>
                <w:szCs w:val="24"/>
              </w:rPr>
              <w:t>e hypothèse de C</w:t>
            </w:r>
            <w:r w:rsidR="00B35F09">
              <w:rPr>
                <w:rFonts w:ascii="Times" w:eastAsia="Cambria" w:hAnsi="Times" w:cs="Times New Roman"/>
                <w:sz w:val="16"/>
                <w:szCs w:val="24"/>
              </w:rPr>
              <w:t>o</w:t>
            </w:r>
            <w:r w:rsidR="00C72083">
              <w:rPr>
                <w:rFonts w:ascii="Times" w:eastAsia="Cambria" w:hAnsi="Times" w:cs="Times New Roman"/>
                <w:sz w:val="16"/>
                <w:szCs w:val="24"/>
              </w:rPr>
              <w:t>ût Global E</w:t>
            </w:r>
            <w:r w:rsidR="00B35F09">
              <w:rPr>
                <w:rFonts w:ascii="Times" w:eastAsia="Cambria" w:hAnsi="Times" w:cs="Times New Roman"/>
                <w:sz w:val="16"/>
                <w:szCs w:val="24"/>
              </w:rPr>
              <w:t>tendu</w:t>
            </w:r>
            <w:r w:rsidR="00C72083">
              <w:rPr>
                <w:rFonts w:ascii="Times" w:eastAsia="Cambria" w:hAnsi="Times" w:cs="Times New Roman"/>
                <w:sz w:val="16"/>
                <w:szCs w:val="24"/>
              </w:rPr>
              <w:t> comprenant :</w:t>
            </w:r>
          </w:p>
          <w:p w14:paraId="0B839086" w14:textId="77777777" w:rsidR="00C72083" w:rsidRDefault="00C72083" w:rsidP="00395E11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87" w14:textId="77777777" w:rsidR="00C72083" w:rsidRDefault="00C72083" w:rsidP="00C720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Coûts sur les externalités,</w:t>
            </w:r>
          </w:p>
          <w:p w14:paraId="0B839088" w14:textId="77777777" w:rsidR="00C72083" w:rsidRDefault="00C72083" w:rsidP="00C720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Coût hors construction,</w:t>
            </w:r>
          </w:p>
          <w:p w14:paraId="0B839089" w14:textId="77777777" w:rsidR="00C72083" w:rsidRDefault="00C72083" w:rsidP="00C720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Revenus</w:t>
            </w:r>
          </w:p>
          <w:p w14:paraId="0B83908A" w14:textId="77777777" w:rsidR="00D65604" w:rsidRDefault="00D65604" w:rsidP="00D65604">
            <w:pPr>
              <w:pStyle w:val="Paragraphedeliste"/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8B" w14:textId="77777777" w:rsidR="00C72083" w:rsidRDefault="00C72083" w:rsidP="00C72083">
            <w:pPr>
              <w:pStyle w:val="Paragraphedeliste"/>
              <w:spacing w:after="0" w:line="240" w:lineRule="auto"/>
              <w:ind w:left="0"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- 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>Résultats de calcul en Coût Global Etendu détaillés par postes de dépenses. </w:t>
            </w:r>
          </w:p>
          <w:p w14:paraId="0B83908C" w14:textId="77777777" w:rsidR="00D65604" w:rsidRPr="00C72083" w:rsidRDefault="00D65604" w:rsidP="00C72083">
            <w:pPr>
              <w:pStyle w:val="Paragraphedeliste"/>
              <w:spacing w:after="0" w:line="240" w:lineRule="auto"/>
              <w:ind w:left="0"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B83908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8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8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9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91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9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93" w14:textId="77777777" w:rsidR="006E6C52" w:rsidRDefault="006E6C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94" w14:textId="77777777" w:rsidR="006E6C52" w:rsidRDefault="006E6C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9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0B83909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9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9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0B83909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9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9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9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0B83909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9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0B83909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1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3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4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A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0B8390B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8390B1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117BC" w:rsidRPr="00D117BC" w14:paraId="0B8390C1" w14:textId="77777777" w:rsidTr="00931193">
        <w:trPr>
          <w:trHeight w:val="1424"/>
        </w:trPr>
        <w:tc>
          <w:tcPr>
            <w:tcW w:w="2958" w:type="dxa"/>
            <w:vMerge/>
          </w:tcPr>
          <w:p w14:paraId="0B8390B3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B8390B4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0B8390B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B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B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B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0B8390B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B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B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B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0B8390B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B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B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C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</w:tr>
      <w:tr w:rsidR="00D117BC" w:rsidRPr="00D117BC" w14:paraId="0B8390C9" w14:textId="77777777" w:rsidTr="00931193">
        <w:trPr>
          <w:trHeight w:val="2792"/>
        </w:trPr>
        <w:tc>
          <w:tcPr>
            <w:tcW w:w="2958" w:type="dxa"/>
            <w:vMerge/>
            <w:tcBorders>
              <w:bottom w:val="single" w:sz="4" w:space="0" w:color="000000"/>
            </w:tcBorders>
          </w:tcPr>
          <w:p w14:paraId="0B8390C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0B8390C3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C4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0B8390C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0B8390C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B8390C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B8390C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14:paraId="0B8390CA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CB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CC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0B8390CD" w14:textId="77777777" w:rsidR="00EE4A64" w:rsidRDefault="00EE4A64"/>
    <w:sectPr w:rsidR="00EE4A64" w:rsidSect="000C0C51">
      <w:headerReference w:type="even" r:id="rId8"/>
      <w:headerReference w:type="default" r:id="rId9"/>
      <w:footerReference w:type="even" r:id="rId10"/>
      <w:footerReference w:type="default" r:id="rId11"/>
      <w:pgSz w:w="11899" w:h="16838"/>
      <w:pgMar w:top="-851" w:right="720" w:bottom="-709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390D2" w14:textId="77777777" w:rsidR="00D92EC9" w:rsidRDefault="00D92EC9" w:rsidP="00F20F5A">
      <w:pPr>
        <w:spacing w:after="0" w:line="240" w:lineRule="auto"/>
      </w:pPr>
      <w:r>
        <w:separator/>
      </w:r>
    </w:p>
  </w:endnote>
  <w:endnote w:type="continuationSeparator" w:id="0">
    <w:p w14:paraId="0B8390D3" w14:textId="77777777" w:rsidR="00D92EC9" w:rsidRDefault="00D92EC9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9133" w14:textId="77777777" w:rsidR="0076127A" w:rsidRDefault="001C5C01" w:rsidP="00E82B14">
    <w:pPr>
      <w:pStyle w:val="Pieddepage"/>
    </w:pPr>
  </w:p>
  <w:p w14:paraId="0B839134" w14:textId="77777777" w:rsidR="0076127A" w:rsidRDefault="001C5C01" w:rsidP="00E82B14"/>
  <w:p w14:paraId="0B839135" w14:textId="77777777" w:rsidR="0076127A" w:rsidRDefault="001C5C01" w:rsidP="00E82B14"/>
  <w:p w14:paraId="0B839136" w14:textId="77777777" w:rsidR="0076127A" w:rsidRDefault="001C5C01" w:rsidP="00E82B14"/>
  <w:p w14:paraId="0B839137" w14:textId="77777777" w:rsidR="0076127A" w:rsidRDefault="001C5C01" w:rsidP="00E82B14"/>
  <w:p w14:paraId="0B839138" w14:textId="77777777" w:rsidR="0076127A" w:rsidRDefault="001C5C01" w:rsidP="00E82B14"/>
  <w:p w14:paraId="0B839139" w14:textId="77777777" w:rsidR="0076127A" w:rsidRDefault="001C5C01" w:rsidP="00E82B14"/>
  <w:p w14:paraId="0B83913A" w14:textId="77777777" w:rsidR="0076127A" w:rsidRDefault="001C5C01" w:rsidP="00E82B14"/>
  <w:p w14:paraId="0B83913B" w14:textId="77777777" w:rsidR="0076127A" w:rsidRDefault="001C5C01" w:rsidP="00E82B14"/>
  <w:p w14:paraId="0B83913C" w14:textId="77777777" w:rsidR="0076127A" w:rsidRDefault="001C5C01" w:rsidP="00E82B14"/>
  <w:p w14:paraId="0B83913D" w14:textId="77777777" w:rsidR="0076127A" w:rsidRDefault="001C5C01" w:rsidP="00E82B14"/>
  <w:p w14:paraId="0B83913E" w14:textId="77777777" w:rsidR="0076127A" w:rsidRDefault="001C5C01" w:rsidP="00E82B14"/>
  <w:p w14:paraId="0B83913F" w14:textId="77777777" w:rsidR="0076127A" w:rsidRDefault="001C5C01" w:rsidP="00E82B14"/>
  <w:p w14:paraId="0B839140" w14:textId="77777777" w:rsidR="0076127A" w:rsidRDefault="001C5C01" w:rsidP="00E82B14"/>
  <w:p w14:paraId="0B839141" w14:textId="77777777" w:rsidR="0076127A" w:rsidRDefault="001C5C01" w:rsidP="00E82B14"/>
  <w:p w14:paraId="0B839142" w14:textId="77777777" w:rsidR="0076127A" w:rsidRDefault="001C5C01" w:rsidP="00E82B14"/>
  <w:p w14:paraId="0B839143" w14:textId="77777777" w:rsidR="0076127A" w:rsidRDefault="001C5C01" w:rsidP="00E82B14"/>
  <w:p w14:paraId="0B839144" w14:textId="77777777" w:rsidR="0076127A" w:rsidRDefault="001C5C01" w:rsidP="00B03F03"/>
  <w:p w14:paraId="0B839145" w14:textId="77777777" w:rsidR="0076127A" w:rsidRDefault="001C5C01" w:rsidP="00686979"/>
  <w:p w14:paraId="0B839146" w14:textId="77777777" w:rsidR="0076127A" w:rsidRDefault="001C5C01" w:rsidP="00686979"/>
  <w:p w14:paraId="0B839147" w14:textId="77777777" w:rsidR="0076127A" w:rsidRDefault="001C5C01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9148" w14:textId="40230006" w:rsidR="00420A5B" w:rsidRDefault="00420A5B" w:rsidP="00420A5B">
    <w:pPr>
      <w:pStyle w:val="Pieddepage"/>
    </w:pPr>
    <w:r>
      <w:t xml:space="preserve">Fiche </w:t>
    </w:r>
    <w:r w:rsidR="002F2592">
      <w:t>individuelle OPQTECC – 4.2</w:t>
    </w:r>
    <w:r>
      <w:t xml:space="preserve">. Coût Global </w:t>
    </w:r>
    <w:r w:rsidR="002F2592">
      <w:t xml:space="preserve">étendu </w:t>
    </w:r>
    <w:r>
      <w:t xml:space="preserve">– </w:t>
    </w:r>
    <w:r w:rsidR="001C5C01">
      <w:t>Avril 2020</w:t>
    </w:r>
  </w:p>
  <w:p w14:paraId="0B839149" w14:textId="77777777" w:rsidR="00420A5B" w:rsidRDefault="000C0C51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F87F8A">
          <w:rPr>
            <w:noProof/>
          </w:rPr>
          <w:t>2</w:t>
        </w:r>
        <w:r w:rsidR="00420A5B">
          <w:fldChar w:fldCharType="end"/>
        </w:r>
      </w:sdtContent>
    </w:sdt>
  </w:p>
  <w:p w14:paraId="0B83914A" w14:textId="77777777" w:rsidR="0076127A" w:rsidRDefault="001C5C01" w:rsidP="00C37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390D0" w14:textId="77777777" w:rsidR="00D92EC9" w:rsidRDefault="00D92EC9" w:rsidP="00F20F5A">
      <w:pPr>
        <w:spacing w:after="0" w:line="240" w:lineRule="auto"/>
      </w:pPr>
      <w:r>
        <w:separator/>
      </w:r>
    </w:p>
  </w:footnote>
  <w:footnote w:type="continuationSeparator" w:id="0">
    <w:p w14:paraId="0B8390D1" w14:textId="77777777" w:rsidR="00D92EC9" w:rsidRDefault="00D92EC9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90D4" w14:textId="77777777" w:rsidR="0076127A" w:rsidRDefault="001C5C01" w:rsidP="00E82B14"/>
  <w:p w14:paraId="0B8390D5" w14:textId="77777777" w:rsidR="0076127A" w:rsidRDefault="001C5C01" w:rsidP="00E82B14"/>
  <w:p w14:paraId="0B8390D6" w14:textId="77777777" w:rsidR="0076127A" w:rsidRDefault="001C5C01" w:rsidP="00E82B14"/>
  <w:p w14:paraId="0B8390D7" w14:textId="77777777" w:rsidR="0076127A" w:rsidRDefault="001C5C01" w:rsidP="00E82B14"/>
  <w:p w14:paraId="0B8390D8" w14:textId="77777777" w:rsidR="0076127A" w:rsidRDefault="001C5C01" w:rsidP="00E82B14"/>
  <w:p w14:paraId="0B8390D9" w14:textId="77777777" w:rsidR="0076127A" w:rsidRDefault="001C5C01" w:rsidP="00E82B14"/>
  <w:p w14:paraId="0B8390DA" w14:textId="77777777" w:rsidR="0076127A" w:rsidRDefault="001C5C01" w:rsidP="00E82B14"/>
  <w:p w14:paraId="0B8390DB" w14:textId="77777777" w:rsidR="0076127A" w:rsidRDefault="001C5C01" w:rsidP="00E82B14"/>
  <w:p w14:paraId="0B8390DC" w14:textId="77777777" w:rsidR="0076127A" w:rsidRDefault="001C5C01" w:rsidP="00E82B14"/>
  <w:p w14:paraId="0B8390DD" w14:textId="77777777" w:rsidR="0076127A" w:rsidRDefault="001C5C01" w:rsidP="00E82B14"/>
  <w:p w14:paraId="0B8390DE" w14:textId="77777777" w:rsidR="0076127A" w:rsidRDefault="001C5C01" w:rsidP="00E82B14"/>
  <w:p w14:paraId="0B8390DF" w14:textId="77777777" w:rsidR="0076127A" w:rsidRDefault="001C5C01" w:rsidP="00E82B14"/>
  <w:p w14:paraId="0B8390E0" w14:textId="77777777" w:rsidR="0076127A" w:rsidRDefault="001C5C01" w:rsidP="00E82B14"/>
  <w:p w14:paraId="0B8390E1" w14:textId="77777777" w:rsidR="0076127A" w:rsidRDefault="001C5C01" w:rsidP="00E82B14"/>
  <w:p w14:paraId="0B8390E2" w14:textId="77777777" w:rsidR="0076127A" w:rsidRDefault="001C5C01" w:rsidP="00E82B14"/>
  <w:p w14:paraId="0B8390E3" w14:textId="77777777" w:rsidR="0076127A" w:rsidRDefault="001C5C01" w:rsidP="00E82B14"/>
  <w:p w14:paraId="0B8390E4" w14:textId="77777777" w:rsidR="0076127A" w:rsidRDefault="001C5C01" w:rsidP="00E82B14"/>
  <w:p w14:paraId="0B8390E5" w14:textId="77777777" w:rsidR="0076127A" w:rsidRDefault="001C5C01" w:rsidP="00E82B14"/>
  <w:p w14:paraId="0B8390E6" w14:textId="77777777" w:rsidR="0076127A" w:rsidRDefault="001C5C01" w:rsidP="00E82B14"/>
  <w:p w14:paraId="0B8390E7" w14:textId="77777777" w:rsidR="0076127A" w:rsidRDefault="001C5C01" w:rsidP="00E82B14"/>
  <w:p w14:paraId="0B8390E8" w14:textId="77777777" w:rsidR="0076127A" w:rsidRDefault="001C5C01" w:rsidP="00E82B14"/>
  <w:p w14:paraId="0B8390E9" w14:textId="77777777" w:rsidR="0076127A" w:rsidRDefault="001C5C01" w:rsidP="00E82B14"/>
  <w:p w14:paraId="0B8390EA" w14:textId="77777777" w:rsidR="0076127A" w:rsidRDefault="001C5C01" w:rsidP="00E82B14"/>
  <w:p w14:paraId="0B8390EB" w14:textId="77777777" w:rsidR="0076127A" w:rsidRDefault="001C5C01" w:rsidP="00E82B14"/>
  <w:p w14:paraId="0B8390EC" w14:textId="77777777" w:rsidR="0076127A" w:rsidRDefault="001C5C01" w:rsidP="00E82B14"/>
  <w:p w14:paraId="0B8390ED" w14:textId="77777777" w:rsidR="0076127A" w:rsidRDefault="001C5C01" w:rsidP="00E82B14"/>
  <w:p w14:paraId="0B8390EE" w14:textId="77777777" w:rsidR="0076127A" w:rsidRDefault="001C5C01" w:rsidP="00E82B14"/>
  <w:p w14:paraId="0B8390EF" w14:textId="77777777" w:rsidR="0076127A" w:rsidRDefault="001C5C01" w:rsidP="00E82B14"/>
  <w:p w14:paraId="0B8390F0" w14:textId="77777777" w:rsidR="0076127A" w:rsidRDefault="001C5C01" w:rsidP="00E82B14"/>
  <w:p w14:paraId="0B8390F1" w14:textId="77777777" w:rsidR="0076127A" w:rsidRDefault="001C5C01" w:rsidP="00E82B14"/>
  <w:p w14:paraId="0B8390F2" w14:textId="77777777" w:rsidR="0076127A" w:rsidRDefault="001C5C01" w:rsidP="00E82B14"/>
  <w:p w14:paraId="0B8390F3" w14:textId="77777777" w:rsidR="0076127A" w:rsidRDefault="001C5C01" w:rsidP="00E82B14"/>
  <w:p w14:paraId="0B8390F4" w14:textId="77777777" w:rsidR="0076127A" w:rsidRDefault="001C5C01" w:rsidP="00E82B14"/>
  <w:p w14:paraId="0B8390F5" w14:textId="77777777" w:rsidR="0076127A" w:rsidRDefault="001C5C01" w:rsidP="00E82B14"/>
  <w:p w14:paraId="0B8390F6" w14:textId="77777777" w:rsidR="0076127A" w:rsidRDefault="001C5C01" w:rsidP="00E82B14"/>
  <w:p w14:paraId="0B8390F7" w14:textId="77777777" w:rsidR="0076127A" w:rsidRDefault="001C5C01" w:rsidP="00E82B14"/>
  <w:p w14:paraId="0B8390F8" w14:textId="77777777" w:rsidR="0076127A" w:rsidRDefault="001C5C01" w:rsidP="00E82B14"/>
  <w:p w14:paraId="0B8390F9" w14:textId="77777777" w:rsidR="0076127A" w:rsidRDefault="001C5C01" w:rsidP="00E82B14"/>
  <w:p w14:paraId="0B8390FA" w14:textId="77777777" w:rsidR="0076127A" w:rsidRDefault="001C5C01" w:rsidP="00E82B14"/>
  <w:p w14:paraId="0B8390FB" w14:textId="77777777" w:rsidR="0076127A" w:rsidRDefault="001C5C01" w:rsidP="00E82B14"/>
  <w:p w14:paraId="0B8390FC" w14:textId="77777777" w:rsidR="0076127A" w:rsidRDefault="001C5C01" w:rsidP="00E82B14"/>
  <w:p w14:paraId="0B8390FD" w14:textId="77777777" w:rsidR="0076127A" w:rsidRDefault="001C5C01" w:rsidP="00E82B14"/>
  <w:p w14:paraId="0B8390FE" w14:textId="77777777" w:rsidR="0076127A" w:rsidRDefault="001C5C01" w:rsidP="00E82B14"/>
  <w:p w14:paraId="0B8390FF" w14:textId="77777777" w:rsidR="0076127A" w:rsidRDefault="001C5C01" w:rsidP="00E82B14"/>
  <w:p w14:paraId="0B839100" w14:textId="77777777" w:rsidR="0076127A" w:rsidRDefault="001C5C01" w:rsidP="00E82B14"/>
  <w:p w14:paraId="0B839101" w14:textId="77777777" w:rsidR="0076127A" w:rsidRDefault="001C5C01" w:rsidP="00E82B14"/>
  <w:p w14:paraId="0B839102" w14:textId="77777777" w:rsidR="0076127A" w:rsidRDefault="001C5C01" w:rsidP="00E82B14"/>
  <w:p w14:paraId="0B839103" w14:textId="77777777" w:rsidR="0076127A" w:rsidRDefault="001C5C01" w:rsidP="00E82B14"/>
  <w:p w14:paraId="0B839104" w14:textId="77777777" w:rsidR="0076127A" w:rsidRDefault="001C5C01" w:rsidP="00E82B14"/>
  <w:p w14:paraId="0B839105" w14:textId="77777777" w:rsidR="0076127A" w:rsidRDefault="001C5C01" w:rsidP="00E82B14"/>
  <w:p w14:paraId="0B839106" w14:textId="77777777" w:rsidR="0076127A" w:rsidRDefault="001C5C01" w:rsidP="00E82B14"/>
  <w:p w14:paraId="0B839107" w14:textId="77777777" w:rsidR="0076127A" w:rsidRDefault="001C5C01" w:rsidP="00E82B14"/>
  <w:p w14:paraId="0B839108" w14:textId="77777777" w:rsidR="0076127A" w:rsidRDefault="001C5C01" w:rsidP="00E82B14"/>
  <w:p w14:paraId="0B839109" w14:textId="77777777" w:rsidR="0076127A" w:rsidRDefault="001C5C01" w:rsidP="00E82B14"/>
  <w:p w14:paraId="0B83910A" w14:textId="77777777" w:rsidR="0076127A" w:rsidRDefault="001C5C01" w:rsidP="00E82B14"/>
  <w:p w14:paraId="0B83910B" w14:textId="77777777" w:rsidR="0076127A" w:rsidRDefault="001C5C01" w:rsidP="00E82B14"/>
  <w:p w14:paraId="0B83910C" w14:textId="77777777" w:rsidR="0076127A" w:rsidRDefault="001C5C01" w:rsidP="00E82B14"/>
  <w:p w14:paraId="0B83910D" w14:textId="77777777" w:rsidR="0076127A" w:rsidRDefault="001C5C01" w:rsidP="00E82B14"/>
  <w:p w14:paraId="0B83910E" w14:textId="77777777" w:rsidR="0076127A" w:rsidRDefault="001C5C01" w:rsidP="00E82B14"/>
  <w:p w14:paraId="0B83910F" w14:textId="77777777" w:rsidR="0076127A" w:rsidRDefault="001C5C01" w:rsidP="00E82B14"/>
  <w:p w14:paraId="0B839110" w14:textId="77777777" w:rsidR="0076127A" w:rsidRDefault="001C5C01" w:rsidP="00E82B14"/>
  <w:p w14:paraId="0B839111" w14:textId="77777777" w:rsidR="0076127A" w:rsidRDefault="001C5C01" w:rsidP="00E82B14"/>
  <w:p w14:paraId="0B839112" w14:textId="77777777" w:rsidR="0076127A" w:rsidRDefault="001C5C01" w:rsidP="00E82B14"/>
  <w:p w14:paraId="0B839113" w14:textId="77777777" w:rsidR="0076127A" w:rsidRDefault="001C5C01" w:rsidP="00E82B14"/>
  <w:p w14:paraId="0B839114" w14:textId="77777777" w:rsidR="0076127A" w:rsidRDefault="001C5C01" w:rsidP="00E82B14"/>
  <w:p w14:paraId="0B839115" w14:textId="77777777" w:rsidR="0076127A" w:rsidRDefault="001C5C01" w:rsidP="00E82B14"/>
  <w:p w14:paraId="0B839116" w14:textId="77777777" w:rsidR="0076127A" w:rsidRDefault="001C5C01" w:rsidP="00E82B14"/>
  <w:p w14:paraId="0B839117" w14:textId="77777777" w:rsidR="0076127A" w:rsidRDefault="001C5C01" w:rsidP="00E82B14"/>
  <w:p w14:paraId="0B839118" w14:textId="77777777" w:rsidR="0076127A" w:rsidRDefault="001C5C01" w:rsidP="00E82B14"/>
  <w:p w14:paraId="0B839119" w14:textId="77777777" w:rsidR="0076127A" w:rsidRDefault="001C5C01" w:rsidP="00E82B14"/>
  <w:p w14:paraId="0B83911A" w14:textId="77777777" w:rsidR="0076127A" w:rsidRDefault="001C5C01" w:rsidP="00B03F03"/>
  <w:p w14:paraId="0B83911B" w14:textId="77777777" w:rsidR="0076127A" w:rsidRDefault="001C5C01" w:rsidP="00686979"/>
  <w:p w14:paraId="0B83911C" w14:textId="77777777" w:rsidR="0076127A" w:rsidRDefault="001C5C01" w:rsidP="00686979"/>
  <w:p w14:paraId="0B83911D" w14:textId="77777777" w:rsidR="0076127A" w:rsidRDefault="001C5C01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911E" w14:textId="77777777" w:rsidR="0076127A" w:rsidRDefault="001C5C01" w:rsidP="00E82B14">
    <w:pPr>
      <w:pStyle w:val="En-tte"/>
    </w:pPr>
  </w:p>
  <w:p w14:paraId="0B83911F" w14:textId="77777777" w:rsidR="0076127A" w:rsidRDefault="001C5C01" w:rsidP="00E82B14"/>
  <w:p w14:paraId="0B839120" w14:textId="77777777" w:rsidR="0076127A" w:rsidRDefault="001C5C01" w:rsidP="00E82B14"/>
  <w:p w14:paraId="0B839121" w14:textId="77777777" w:rsidR="0076127A" w:rsidRDefault="001C5C01" w:rsidP="00E82B14"/>
  <w:p w14:paraId="0B839122" w14:textId="77777777" w:rsidR="0076127A" w:rsidRDefault="001C5C01" w:rsidP="00E82B14"/>
  <w:p w14:paraId="0B839123" w14:textId="77777777" w:rsidR="0076127A" w:rsidRDefault="001C5C01" w:rsidP="00E82B14"/>
  <w:p w14:paraId="0B839124" w14:textId="77777777" w:rsidR="0076127A" w:rsidRDefault="001C5C01" w:rsidP="00E82B14"/>
  <w:p w14:paraId="0B839125" w14:textId="77777777" w:rsidR="0076127A" w:rsidRDefault="001C5C01" w:rsidP="00E82B14"/>
  <w:p w14:paraId="0B839126" w14:textId="77777777" w:rsidR="0076127A" w:rsidRDefault="001C5C01" w:rsidP="00E82B14"/>
  <w:p w14:paraId="0B839127" w14:textId="77777777" w:rsidR="0076127A" w:rsidRDefault="001C5C01" w:rsidP="00E82B14"/>
  <w:p w14:paraId="0B839128" w14:textId="77777777" w:rsidR="0076127A" w:rsidRDefault="001C5C01" w:rsidP="00E82B14"/>
  <w:p w14:paraId="0B839129" w14:textId="77777777" w:rsidR="0076127A" w:rsidRDefault="001C5C01" w:rsidP="00E82B14"/>
  <w:p w14:paraId="0B83912A" w14:textId="77777777" w:rsidR="0076127A" w:rsidRDefault="004C0C13" w:rsidP="00E82B14">
    <w:r>
      <w:tab/>
    </w:r>
  </w:p>
  <w:p w14:paraId="0B83912B" w14:textId="77777777" w:rsidR="0076127A" w:rsidRDefault="001C5C01" w:rsidP="00E82B14"/>
  <w:p w14:paraId="0B83912C" w14:textId="77777777" w:rsidR="0076127A" w:rsidRDefault="001C5C01" w:rsidP="00E82B14"/>
  <w:p w14:paraId="0B83912D" w14:textId="77777777" w:rsidR="0076127A" w:rsidRDefault="001C5C01" w:rsidP="00E82B14"/>
  <w:p w14:paraId="0B83912E" w14:textId="77777777" w:rsidR="0076127A" w:rsidRDefault="001C5C01" w:rsidP="00E82B14"/>
  <w:p w14:paraId="0B83912F" w14:textId="77777777" w:rsidR="0076127A" w:rsidRDefault="001C5C01" w:rsidP="00B03F03"/>
  <w:p w14:paraId="0B839130" w14:textId="77777777" w:rsidR="0076127A" w:rsidRDefault="001C5C01" w:rsidP="00686979"/>
  <w:p w14:paraId="0B839131" w14:textId="77777777" w:rsidR="0076127A" w:rsidRDefault="001C5C01" w:rsidP="00686979"/>
  <w:p w14:paraId="0B839132" w14:textId="77777777" w:rsidR="0076127A" w:rsidRDefault="001C5C01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BC"/>
    <w:rsid w:val="00073E76"/>
    <w:rsid w:val="000C0C51"/>
    <w:rsid w:val="001C5C01"/>
    <w:rsid w:val="002F2592"/>
    <w:rsid w:val="0032619E"/>
    <w:rsid w:val="00395E11"/>
    <w:rsid w:val="003D5494"/>
    <w:rsid w:val="00420A5B"/>
    <w:rsid w:val="004C0C13"/>
    <w:rsid w:val="006463E5"/>
    <w:rsid w:val="006E6C52"/>
    <w:rsid w:val="007473C3"/>
    <w:rsid w:val="00755FC3"/>
    <w:rsid w:val="0079507B"/>
    <w:rsid w:val="007963E5"/>
    <w:rsid w:val="008A48DB"/>
    <w:rsid w:val="0093776D"/>
    <w:rsid w:val="009A18C0"/>
    <w:rsid w:val="00A73D0B"/>
    <w:rsid w:val="00A7577F"/>
    <w:rsid w:val="00B35F09"/>
    <w:rsid w:val="00B756FE"/>
    <w:rsid w:val="00C72083"/>
    <w:rsid w:val="00C80DF0"/>
    <w:rsid w:val="00C8769A"/>
    <w:rsid w:val="00CE72F8"/>
    <w:rsid w:val="00D117BC"/>
    <w:rsid w:val="00D65604"/>
    <w:rsid w:val="00D92EC9"/>
    <w:rsid w:val="00DB7B21"/>
    <w:rsid w:val="00DE4808"/>
    <w:rsid w:val="00E152A7"/>
    <w:rsid w:val="00E56552"/>
    <w:rsid w:val="00E60CEF"/>
    <w:rsid w:val="00EE4A64"/>
    <w:rsid w:val="00F20F5A"/>
    <w:rsid w:val="00F26CF0"/>
    <w:rsid w:val="00F84A10"/>
    <w:rsid w:val="00F87D41"/>
    <w:rsid w:val="00F87F8A"/>
    <w:rsid w:val="00FA5018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9020"/>
  <w15:docId w15:val="{3E17995E-D182-4591-B9E6-C552B5B1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Florence Erismann</cp:lastModifiedBy>
  <cp:revision>5</cp:revision>
  <cp:lastPrinted>2016-07-06T12:56:00Z</cp:lastPrinted>
  <dcterms:created xsi:type="dcterms:W3CDTF">2016-10-13T16:14:00Z</dcterms:created>
  <dcterms:modified xsi:type="dcterms:W3CDTF">2020-04-14T15:42:00Z</dcterms:modified>
</cp:coreProperties>
</file>